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37D0C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</w:t>
      </w:r>
      <w:r w:rsidR="004F12C0">
        <w:rPr>
          <w:rFonts w:ascii="Calibri" w:eastAsia="Times New Roman" w:hAnsi="Calibri" w:cs="Times New Roman"/>
        </w:rPr>
        <w:t xml:space="preserve"> июня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D0C" w:rsidRPr="00737D0C" w:rsidRDefault="00737D0C" w:rsidP="007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0C">
        <w:rPr>
          <w:rFonts w:ascii="Times New Roman" w:hAnsi="Times New Roman" w:cs="Times New Roman"/>
          <w:color w:val="000000"/>
          <w:sz w:val="28"/>
          <w:szCs w:val="28"/>
        </w:rPr>
        <w:t>С 4 мая действуют изменения законодательства, касающиеся проведения технического осмотра транспортных средств. Изменения внесены Федеральным законом от 23.04.2018 № 110-ФЗ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737D0C" w:rsidRPr="00737D0C" w:rsidRDefault="00737D0C" w:rsidP="007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0C">
        <w:rPr>
          <w:rFonts w:ascii="Times New Roman" w:hAnsi="Times New Roman" w:cs="Times New Roman"/>
          <w:color w:val="000000"/>
          <w:sz w:val="28"/>
          <w:szCs w:val="28"/>
        </w:rPr>
        <w:t xml:space="preserve">Так, изменениями скорректированы полномочия органов государственной власти субъектов РФ в сфере технического осмотра. Такие органы наделяются правом устанавливать предельный размер платы за проведение технического осмотра и осуществлять </w:t>
      </w:r>
      <w:proofErr w:type="gramStart"/>
      <w:r w:rsidRPr="00737D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37D0C">
        <w:rPr>
          <w:rFonts w:ascii="Times New Roman" w:hAnsi="Times New Roman" w:cs="Times New Roman"/>
          <w:color w:val="000000"/>
          <w:sz w:val="28"/>
          <w:szCs w:val="28"/>
        </w:rPr>
        <w:t xml:space="preserve"> его соблюдением, а также за соблюдением размера платы за выдачу дубликата диагностической карты.</w:t>
      </w:r>
    </w:p>
    <w:p w:rsidR="00737D0C" w:rsidRPr="00737D0C" w:rsidRDefault="00737D0C" w:rsidP="007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0C">
        <w:rPr>
          <w:rFonts w:ascii="Times New Roman" w:hAnsi="Times New Roman" w:cs="Times New Roman"/>
          <w:color w:val="000000"/>
          <w:sz w:val="28"/>
          <w:szCs w:val="28"/>
        </w:rPr>
        <w:t>Предусмотрено, что оператор технического осмотра при несоответствии транспортного средства хотя бы одному из обязательных требований безопасности транспортных средств обязан не отказывать в выдаче диагностической карты, а указать в диагностической карте данное несоответствие и дать заключение о невозможности эксплуатации транспортного средства.</w:t>
      </w:r>
    </w:p>
    <w:p w:rsidR="00737D0C" w:rsidRPr="00737D0C" w:rsidRDefault="00737D0C" w:rsidP="007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0C">
        <w:rPr>
          <w:rFonts w:ascii="Times New Roman" w:hAnsi="Times New Roman" w:cs="Times New Roman"/>
          <w:color w:val="000000"/>
          <w:sz w:val="28"/>
          <w:szCs w:val="28"/>
        </w:rPr>
        <w:t>Также уточнено, что к полномочиям профессионального объединения страховщиков в сфере техосмотра относится не ведение учета бланков талонов техосмотра, а ведение учета бланков диагностических карт.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4004B4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Скрынников А.С.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 w:rsidR="00737D0C"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3D7683"/>
    <w:rsid w:val="004004B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A4BA8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2018-06-18T15:47:00Z</dcterms:created>
  <dcterms:modified xsi:type="dcterms:W3CDTF">2018-06-18T15:47:00Z</dcterms:modified>
</cp:coreProperties>
</file>